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福建省图书馆 福建省作家协会</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关于征集“读吧！福建”第三届福建</w:t>
      </w:r>
    </w:p>
    <w:p>
      <w:pPr>
        <w:spacing w:line="680" w:lineRule="exact"/>
        <w:jc w:val="center"/>
        <w:rPr>
          <w:rFonts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rPr>
        <w:t>文学好书榜评选及推广活动参评图书的启事</w:t>
      </w:r>
    </w:p>
    <w:p>
      <w:pPr>
        <w:spacing w:line="360" w:lineRule="auto"/>
        <w:jc w:val="center"/>
        <w:rPr>
          <w:rFonts w:ascii="仿宋_GB2312" w:eastAsia="仿宋_GB2312"/>
          <w:sz w:val="28"/>
          <w:szCs w:val="28"/>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各地图书馆，各设区市作协，平潭综合实验区作协，各行业作协，各级作协会员，各文学创作者：</w:t>
      </w:r>
    </w:p>
    <w:p>
      <w:pPr>
        <w:autoSpaceDE w:val="0"/>
        <w:spacing w:line="580" w:lineRule="exact"/>
        <w:ind w:firstLine="640" w:firstLineChars="200"/>
        <w:rPr>
          <w:rFonts w:ascii="仿宋" w:hAnsi="仿宋" w:eastAsia="仿宋" w:cs="华文仿宋"/>
          <w:sz w:val="32"/>
          <w:szCs w:val="32"/>
        </w:rPr>
      </w:pPr>
      <w:r>
        <w:rPr>
          <w:rFonts w:hint="eastAsia" w:ascii="仿宋_GB2312" w:hAnsi="仿宋_GB2312" w:eastAsia="仿宋_GB2312" w:cs="仿宋_GB2312"/>
          <w:sz w:val="32"/>
          <w:szCs w:val="32"/>
        </w:rPr>
        <w:t>为全面贯彻习近平新时代中国特色社会主义思想和党的十九大精神，落实《中华人民共和国公共文化服务保障法》《中华人民共和国公共图书馆法》，推动我省文化事业繁荣发展，在第25个“世界读书日”来临之际，在福建省文化和旅游厅、福建省文学艺术界联合会的指导下，福建省图书馆、福建省作家协会联合主办“‘读吧！福建’第三届福建文学好书榜评选及阅读推广活动”，活动将评选出适宜阅读的、读者喜爱的福建优秀文学图书，并通过评、看、听、读等形式，引导读者多读书、读好书，激发全省全民阅读热情。同时促进我省文学创作出精品、出人才，推动我省文学创作事业繁荣发展。现广泛征集“读吧！福建”第三届福建文学好书榜评选及阅读推广活动参评图书，有关事项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一、活动主题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“读吧！福建”第三届福建文学好书榜评选及阅读推广活动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二、组织单位</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指导单位：</w:t>
      </w:r>
      <w:r>
        <w:rPr>
          <w:rFonts w:hint="eastAsia" w:ascii="仿宋_GB2312" w:hAnsi="仿宋_GB2312" w:eastAsia="仿宋_GB2312" w:cs="仿宋_GB2312"/>
          <w:sz w:val="32"/>
          <w:szCs w:val="32"/>
        </w:rPr>
        <w:t>福建省文化和旅游厅  福建省文学艺术界联合会</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主办单位：</w:t>
      </w:r>
      <w:r>
        <w:rPr>
          <w:rFonts w:hint="eastAsia" w:ascii="仿宋_GB2312" w:hAnsi="仿宋_GB2312" w:eastAsia="仿宋_GB2312" w:cs="仿宋_GB2312"/>
          <w:sz w:val="32"/>
          <w:szCs w:val="32"/>
        </w:rPr>
        <w:t>福建省图书馆  福建省作家协会</w:t>
      </w:r>
    </w:p>
    <w:p>
      <w:pPr>
        <w:autoSpaceDE w:val="0"/>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三、征集对象、范围</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（一）参评对象：</w:t>
      </w:r>
      <w:r>
        <w:rPr>
          <w:rFonts w:hint="eastAsia" w:ascii="仿宋_GB2312" w:hAnsi="仿宋_GB2312" w:eastAsia="仿宋_GB2312" w:cs="仿宋_GB2312"/>
          <w:sz w:val="32"/>
          <w:szCs w:val="32"/>
        </w:rPr>
        <w:t>在闽工作、生活、学习的文学创作者；</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（二）申报范围：</w:t>
      </w:r>
      <w:r>
        <w:rPr>
          <w:rFonts w:hint="eastAsia" w:ascii="仿宋_GB2312" w:hAnsi="仿宋_GB2312" w:eastAsia="仿宋_GB2312" w:cs="仿宋_GB2312"/>
          <w:sz w:val="32"/>
          <w:szCs w:val="32"/>
        </w:rPr>
        <w:t>2019年1月1日到2019年12月31日出版的文学图书（以版权页登记为准），体裁不限。</w:t>
      </w:r>
    </w:p>
    <w:p>
      <w:pPr>
        <w:autoSpaceDE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四、申报截止时间</w:t>
      </w:r>
    </w:p>
    <w:p>
      <w:pPr>
        <w:autoSpaceDE w:val="0"/>
        <w:spacing w:line="58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2020年3月15日</w:t>
      </w:r>
      <w:r>
        <w:rPr>
          <w:rFonts w:hint="eastAsia" w:ascii="仿宋_GB2312" w:eastAsia="仿宋_GB2312"/>
          <w:b/>
          <w:bCs/>
          <w:sz w:val="32"/>
          <w:szCs w:val="32"/>
        </w:rPr>
        <w:t>（逾期视为放弃）</w:t>
      </w:r>
      <w:r>
        <w:rPr>
          <w:rFonts w:hint="eastAsia" w:ascii="仿宋_GB2312" w:eastAsia="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（一）“读吧！福建”第三届福建文学好书榜评选及阅读推广活动图书参评表纸质版、电子版各1份（1部作品对应1份表格）；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（二）出版图书样书10本；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者身份证明（福建户籍的作者请将身份证拍照后以电子版形式报送；非福建户籍、在福建工作、生活、学习的作者请将居住证或福建省各级作家协会会员证或其他相关证明材料拍照后以电子版形式报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六、申报渠道</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（一）图书馆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1.省直文学创作者直接向省图书馆申报；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邮寄地址：福州市鼓楼区五四路320号中瑞影城省体店南侧附属楼福建省图书馆文化教育部  田舒文收，邮编：350003；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电子版发送至邮箱：dzhdzx@126.com（邮件主题请标明：第三届福建文学好书榜+姓名）；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联系人：田舒文，联系电话：0591-87607784、18059776110。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2.各地文学创作者将纸质申报材料、电子版参评表（附件2）报送当地图书馆，由当地图书馆填写汇总表（附件1）发送省图书馆邮箱，并统一将纸质申报材料报送省图书馆（只接收快递）。</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（二）作协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将纸质申报材料报送省作协（只接收快递），同时将电子版推荐表（附件2）和汇总表（附件1）发送省作协邮箱。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邮寄地址：</w:t>
      </w:r>
      <w:r>
        <w:rPr>
          <w:rFonts w:hint="eastAsia" w:ascii="仿宋_GB2312" w:hAnsi="仿宋_GB2312" w:eastAsia="仿宋_GB2312" w:cs="仿宋_GB2312"/>
          <w:kern w:val="0"/>
          <w:sz w:val="32"/>
          <w:szCs w:val="32"/>
        </w:rPr>
        <w:t>福州市鼓楼区乌山西路11号福建省作协  陈淑熙</w:t>
      </w:r>
      <w:r>
        <w:rPr>
          <w:rFonts w:hint="eastAsia" w:ascii="仿宋_GB2312" w:hAnsi="仿宋_GB2312" w:eastAsia="仿宋_GB2312" w:cs="仿宋_GB2312"/>
          <w:sz w:val="32"/>
          <w:szCs w:val="32"/>
        </w:rPr>
        <w:t>收，邮编：350025；</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电子版发送至邮箱：fjszxzw@sina.com（邮件主题请标明：第三届福建文学好书榜+姓名）；</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联系人：陈燕，联系电话：</w:t>
      </w:r>
      <w:r>
        <w:rPr>
          <w:rFonts w:hint="eastAsia" w:ascii="仿宋_GB2312" w:hAnsi="仿宋_GB2312" w:eastAsia="仿宋_GB2312" w:cs="仿宋_GB2312"/>
          <w:kern w:val="0"/>
          <w:sz w:val="32"/>
          <w:szCs w:val="32"/>
        </w:rPr>
        <w:t>0591-83704197、15060019918。</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（选择任一渠道申报即可，请勿重复申报）</w:t>
      </w:r>
    </w:p>
    <w:p>
      <w:pPr>
        <w:autoSpaceDE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七、奖项设置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（一）活动将评选出优秀图书10部，奖金各3000元；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（二）活动将评选出推荐图书10部，奖金各1000元；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（三）活动将评选出组织奖若干；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（四）上述奖项均颁发获奖证书。</w:t>
      </w:r>
    </w:p>
    <w:p>
      <w:pPr>
        <w:autoSpaceDE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八、好书榜宣传与推广活动</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（一）福建文学好书榜图书通过媒体予以宣传，引导读者阅读，推荐家庭收藏和图书馆收藏。</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（二）围绕好书榜图书举行阅读推广活动，搭建作者、读者、学者、出版者、图书馆相互交流沟通的平台，创造作者写好书、出版社出好书、读者读好书的良好社会氛围。</w:t>
      </w:r>
    </w:p>
    <w:p>
      <w:pPr>
        <w:spacing w:line="560" w:lineRule="exact"/>
        <w:ind w:firstLine="800" w:firstLineChars="25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 “读吧！福建”第三届福建文学好书榜评选</w:t>
      </w:r>
    </w:p>
    <w:p>
      <w:pPr>
        <w:spacing w:line="560" w:lineRule="exact"/>
        <w:ind w:firstLine="1920" w:firstLineChars="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及阅读推广活动图书参评汇总表</w:t>
      </w:r>
    </w:p>
    <w:p>
      <w:pPr>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 “读吧！福建”第三届福建文学好书榜评选</w:t>
      </w:r>
    </w:p>
    <w:p>
      <w:pPr>
        <w:ind w:firstLine="1760" w:firstLineChars="5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及阅读推广活动图书参评表</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福建省图书馆         福建省作家协会</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2020年2月</w:t>
      </w:r>
      <w:r>
        <w:rPr>
          <w:rFonts w:hint="eastAsia" w:ascii="仿宋_GB2312" w:hAnsi="仿宋_GB2312" w:eastAsia="仿宋_GB2312" w:cs="仿宋_GB2312"/>
          <w:sz w:val="32"/>
          <w:szCs w:val="32"/>
          <w:lang w:val="en-US" w:eastAsia="zh-CN"/>
        </w:rPr>
        <w:t>25</w:t>
      </w:r>
      <w:bookmarkStart w:id="0" w:name="_GoBack"/>
      <w:bookmarkEnd w:id="0"/>
      <w:r>
        <w:rPr>
          <w:rFonts w:hint="eastAsia" w:ascii="仿宋_GB2312" w:hAnsi="仿宋_GB2312" w:eastAsia="仿宋_GB2312" w:cs="仿宋_GB2312"/>
          <w:sz w:val="32"/>
          <w:szCs w:val="32"/>
        </w:rPr>
        <w:t>日</w:t>
      </w:r>
    </w:p>
    <w:p>
      <w:pPr>
        <w:spacing w:line="360" w:lineRule="auto"/>
        <w:rPr>
          <w:rFonts w:ascii="黑体" w:hAnsi="黑体" w:eastAsia="黑体" w:cs="黑体"/>
          <w:sz w:val="32"/>
          <w:szCs w:val="32"/>
        </w:rPr>
      </w:pPr>
    </w:p>
    <w:p>
      <w:pPr>
        <w:widowControl/>
        <w:jc w:val="left"/>
        <w:rPr>
          <w:rFonts w:ascii="黑体" w:hAnsi="黑体" w:eastAsia="黑体" w:cs="黑体"/>
          <w:sz w:val="32"/>
          <w:szCs w:val="32"/>
        </w:rPr>
      </w:pPr>
      <w:r>
        <w:rPr>
          <w:rFonts w:ascii="黑体" w:hAnsi="黑体" w:eastAsia="黑体" w:cs="黑体"/>
          <w:sz w:val="32"/>
          <w:szCs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附件1</w:t>
      </w:r>
    </w:p>
    <w:p>
      <w:pPr>
        <w:spacing w:line="360" w:lineRule="auto"/>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“读吧！福建”第三届福建文学好书榜评选及</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阅读推广活动图书参评汇总表</w:t>
      </w:r>
    </w:p>
    <w:p>
      <w:pPr>
        <w:spacing w:line="560" w:lineRule="exact"/>
        <w:rPr>
          <w:rFonts w:ascii="仿宋_GB2312" w:hAnsi="仿宋_GB2312" w:eastAsia="仿宋_GB2312" w:cs="仿宋_GB2312"/>
          <w:bCs/>
          <w:sz w:val="32"/>
          <w:szCs w:val="32"/>
        </w:rPr>
      </w:pPr>
    </w:p>
    <w:p>
      <w:pPr>
        <w:spacing w:line="560" w:lineRule="exact"/>
        <w:rPr>
          <w:rFonts w:ascii="仿宋_GB2312" w:hAnsi="仿宋_GB2312" w:eastAsia="仿宋_GB2312" w:cs="仿宋_GB2312"/>
          <w:bCs/>
          <w:sz w:val="32"/>
          <w:szCs w:val="32"/>
        </w:rPr>
      </w:pP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填报单位：                    日期：2020年   月  日</w:t>
      </w:r>
    </w:p>
    <w:tbl>
      <w:tblPr>
        <w:tblStyle w:val="3"/>
        <w:tblW w:w="1091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93"/>
        <w:gridCol w:w="1417"/>
        <w:gridCol w:w="993"/>
        <w:gridCol w:w="1275"/>
        <w:gridCol w:w="1134"/>
        <w:gridCol w:w="1418"/>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序号</w:t>
            </w:r>
          </w:p>
        </w:tc>
        <w:tc>
          <w:tcPr>
            <w:tcW w:w="993"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姓 名</w:t>
            </w:r>
          </w:p>
        </w:tc>
        <w:tc>
          <w:tcPr>
            <w:tcW w:w="1417"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书 名</w:t>
            </w:r>
          </w:p>
        </w:tc>
        <w:tc>
          <w:tcPr>
            <w:tcW w:w="993"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体裁</w:t>
            </w:r>
          </w:p>
        </w:tc>
        <w:tc>
          <w:tcPr>
            <w:tcW w:w="1275" w:type="dxa"/>
          </w:tcPr>
          <w:p>
            <w:pPr>
              <w:spacing w:line="560" w:lineRule="exact"/>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出版社</w:t>
            </w:r>
          </w:p>
        </w:tc>
        <w:tc>
          <w:tcPr>
            <w:tcW w:w="1134" w:type="dxa"/>
          </w:tcPr>
          <w:p>
            <w:pPr>
              <w:spacing w:line="560" w:lineRule="exact"/>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ISBN</w:t>
            </w:r>
          </w:p>
        </w:tc>
        <w:tc>
          <w:tcPr>
            <w:tcW w:w="1418" w:type="dxa"/>
          </w:tcPr>
          <w:p>
            <w:pPr>
              <w:spacing w:line="560" w:lineRule="exact"/>
              <w:jc w:val="lef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出版时间</w:t>
            </w:r>
          </w:p>
        </w:tc>
        <w:tc>
          <w:tcPr>
            <w:tcW w:w="1559"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电子邮箱</w:t>
            </w:r>
          </w:p>
        </w:tc>
        <w:tc>
          <w:tcPr>
            <w:tcW w:w="1276" w:type="dxa"/>
          </w:tcPr>
          <w:p>
            <w:pPr>
              <w:spacing w:line="560" w:lineRule="exact"/>
              <w:jc w:val="center"/>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417" w:type="dxa"/>
          </w:tcPr>
          <w:p>
            <w:pPr>
              <w:spacing w:line="560" w:lineRule="exact"/>
              <w:jc w:val="center"/>
              <w:rPr>
                <w:rFonts w:ascii="仿宋_GB2312" w:hAnsi="仿宋_GB2312" w:eastAsia="仿宋_GB2312" w:cs="仿宋_GB2312"/>
                <w:bCs/>
                <w:kern w:val="0"/>
                <w:sz w:val="30"/>
                <w:szCs w:val="30"/>
              </w:rPr>
            </w:pPr>
          </w:p>
        </w:tc>
        <w:tc>
          <w:tcPr>
            <w:tcW w:w="993" w:type="dxa"/>
          </w:tcPr>
          <w:p>
            <w:pPr>
              <w:spacing w:line="560" w:lineRule="exact"/>
              <w:jc w:val="center"/>
              <w:rPr>
                <w:rFonts w:ascii="仿宋_GB2312" w:hAnsi="仿宋_GB2312" w:eastAsia="仿宋_GB2312" w:cs="仿宋_GB2312"/>
                <w:bCs/>
                <w:kern w:val="0"/>
                <w:sz w:val="30"/>
                <w:szCs w:val="30"/>
              </w:rPr>
            </w:pPr>
          </w:p>
        </w:tc>
        <w:tc>
          <w:tcPr>
            <w:tcW w:w="1275" w:type="dxa"/>
          </w:tcPr>
          <w:p>
            <w:pPr>
              <w:spacing w:line="560" w:lineRule="exact"/>
              <w:jc w:val="center"/>
              <w:rPr>
                <w:rFonts w:ascii="仿宋_GB2312" w:hAnsi="仿宋_GB2312" w:eastAsia="仿宋_GB2312" w:cs="仿宋_GB2312"/>
                <w:bCs/>
                <w:kern w:val="0"/>
                <w:sz w:val="30"/>
                <w:szCs w:val="30"/>
              </w:rPr>
            </w:pPr>
          </w:p>
        </w:tc>
        <w:tc>
          <w:tcPr>
            <w:tcW w:w="1134" w:type="dxa"/>
          </w:tcPr>
          <w:p>
            <w:pPr>
              <w:spacing w:line="560" w:lineRule="exact"/>
              <w:jc w:val="center"/>
              <w:rPr>
                <w:rFonts w:ascii="仿宋_GB2312" w:hAnsi="仿宋_GB2312" w:eastAsia="仿宋_GB2312" w:cs="仿宋_GB2312"/>
                <w:bCs/>
                <w:kern w:val="0"/>
                <w:sz w:val="30"/>
                <w:szCs w:val="30"/>
              </w:rPr>
            </w:pPr>
          </w:p>
        </w:tc>
        <w:tc>
          <w:tcPr>
            <w:tcW w:w="1418" w:type="dxa"/>
          </w:tcPr>
          <w:p>
            <w:pPr>
              <w:spacing w:line="560" w:lineRule="exact"/>
              <w:jc w:val="center"/>
              <w:rPr>
                <w:rFonts w:ascii="仿宋_GB2312" w:hAnsi="仿宋_GB2312" w:eastAsia="仿宋_GB2312" w:cs="仿宋_GB2312"/>
                <w:bCs/>
                <w:kern w:val="0"/>
                <w:sz w:val="30"/>
                <w:szCs w:val="30"/>
              </w:rPr>
            </w:pPr>
          </w:p>
        </w:tc>
        <w:tc>
          <w:tcPr>
            <w:tcW w:w="1559" w:type="dxa"/>
          </w:tcPr>
          <w:p>
            <w:pPr>
              <w:spacing w:line="560" w:lineRule="exact"/>
              <w:jc w:val="center"/>
              <w:rPr>
                <w:rFonts w:ascii="仿宋_GB2312" w:hAnsi="仿宋_GB2312" w:eastAsia="仿宋_GB2312" w:cs="仿宋_GB2312"/>
                <w:bCs/>
                <w:kern w:val="0"/>
                <w:sz w:val="30"/>
                <w:szCs w:val="30"/>
              </w:rPr>
            </w:pPr>
          </w:p>
        </w:tc>
        <w:tc>
          <w:tcPr>
            <w:tcW w:w="1276" w:type="dxa"/>
          </w:tcPr>
          <w:p>
            <w:pPr>
              <w:spacing w:line="560" w:lineRule="exact"/>
              <w:jc w:val="center"/>
              <w:rPr>
                <w:rFonts w:ascii="仿宋_GB2312" w:hAnsi="仿宋_GB2312" w:eastAsia="仿宋_GB2312" w:cs="仿宋_GB2312"/>
                <w:bCs/>
                <w:kern w:val="0"/>
                <w:sz w:val="30"/>
                <w:szCs w:val="30"/>
              </w:rPr>
            </w:pPr>
          </w:p>
        </w:tc>
      </w:tr>
    </w:tbl>
    <w:p>
      <w:pPr>
        <w:spacing w:line="560" w:lineRule="exact"/>
        <w:rPr>
          <w:rFonts w:ascii="仿宋_GB2312" w:hAnsi="仿宋_GB2312" w:eastAsia="仿宋_GB2312" w:cs="仿宋_GB2312"/>
          <w:bCs/>
          <w:sz w:val="32"/>
          <w:szCs w:val="32"/>
        </w:rPr>
      </w:pPr>
    </w:p>
    <w:p>
      <w:pPr>
        <w:widowControl/>
        <w:jc w:val="left"/>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附件2</w:t>
      </w:r>
    </w:p>
    <w:p>
      <w:pPr>
        <w:ind w:left="8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“读吧！福建”第三届福建文学好书榜评选</w:t>
      </w:r>
    </w:p>
    <w:p>
      <w:pPr>
        <w:ind w:left="80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及阅读推广活动图书参评表</w:t>
      </w:r>
    </w:p>
    <w:p>
      <w:pPr>
        <w:ind w:left="800"/>
        <w:jc w:val="center"/>
        <w:rPr>
          <w:rFonts w:ascii="仿宋" w:hAnsi="仿宋" w:eastAsia="仿宋" w:cs="仿宋"/>
          <w:b/>
          <w:bCs/>
          <w:sz w:val="32"/>
          <w:szCs w:val="32"/>
        </w:rPr>
      </w:pPr>
    </w:p>
    <w:tbl>
      <w:tblPr>
        <w:tblStyle w:val="2"/>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0"/>
        <w:gridCol w:w="1279"/>
        <w:gridCol w:w="1424"/>
        <w:gridCol w:w="1350"/>
        <w:gridCol w:w="7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姓名</w:t>
            </w:r>
          </w:p>
        </w:tc>
        <w:tc>
          <w:tcPr>
            <w:tcW w:w="1420" w:type="dxa"/>
          </w:tcPr>
          <w:p>
            <w:pPr>
              <w:spacing w:line="360" w:lineRule="auto"/>
              <w:jc w:val="center"/>
              <w:rPr>
                <w:rFonts w:ascii="仿宋_GB2312" w:hAnsi="华文仿宋" w:eastAsia="仿宋_GB2312" w:cs="华文仿宋"/>
                <w:b/>
                <w:bCs/>
                <w:sz w:val="28"/>
                <w:szCs w:val="28"/>
              </w:rPr>
            </w:pPr>
          </w:p>
        </w:tc>
        <w:tc>
          <w:tcPr>
            <w:tcW w:w="1419"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联系电话</w:t>
            </w:r>
          </w:p>
        </w:tc>
        <w:tc>
          <w:tcPr>
            <w:tcW w:w="1424" w:type="dxa"/>
          </w:tcPr>
          <w:p>
            <w:pPr>
              <w:spacing w:line="360" w:lineRule="auto"/>
              <w:jc w:val="center"/>
              <w:rPr>
                <w:rFonts w:ascii="仿宋_GB2312" w:hAnsi="华文仿宋" w:eastAsia="仿宋_GB2312" w:cs="华文仿宋"/>
                <w:b/>
                <w:bCs/>
                <w:sz w:val="28"/>
                <w:szCs w:val="28"/>
              </w:rPr>
            </w:pPr>
          </w:p>
        </w:tc>
        <w:tc>
          <w:tcPr>
            <w:tcW w:w="1420"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电子邮箱</w:t>
            </w:r>
          </w:p>
        </w:tc>
        <w:tc>
          <w:tcPr>
            <w:tcW w:w="1421" w:type="dxa"/>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通信地址</w:t>
            </w:r>
          </w:p>
        </w:tc>
        <w:tc>
          <w:tcPr>
            <w:tcW w:w="4263" w:type="dxa"/>
            <w:gridSpan w:val="4"/>
          </w:tcPr>
          <w:p>
            <w:pPr>
              <w:spacing w:line="360" w:lineRule="auto"/>
              <w:jc w:val="center"/>
              <w:rPr>
                <w:rFonts w:ascii="仿宋_GB2312" w:hAnsi="华文仿宋" w:eastAsia="仿宋_GB2312" w:cs="华文仿宋"/>
                <w:b/>
                <w:bCs/>
                <w:sz w:val="28"/>
                <w:szCs w:val="28"/>
              </w:rPr>
            </w:pPr>
          </w:p>
        </w:tc>
        <w:tc>
          <w:tcPr>
            <w:tcW w:w="1420" w:type="dxa"/>
            <w:gridSpan w:val="2"/>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地区</w:t>
            </w:r>
          </w:p>
        </w:tc>
        <w:tc>
          <w:tcPr>
            <w:tcW w:w="1421" w:type="dxa"/>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书名</w:t>
            </w:r>
          </w:p>
        </w:tc>
        <w:tc>
          <w:tcPr>
            <w:tcW w:w="2839" w:type="dxa"/>
            <w:gridSpan w:val="3"/>
          </w:tcPr>
          <w:p>
            <w:pPr>
              <w:spacing w:line="360" w:lineRule="auto"/>
              <w:jc w:val="center"/>
              <w:rPr>
                <w:rFonts w:ascii="仿宋_GB2312" w:hAnsi="华文仿宋" w:eastAsia="仿宋_GB2312" w:cs="华文仿宋"/>
                <w:b/>
                <w:bCs/>
                <w:sz w:val="28"/>
                <w:szCs w:val="28"/>
              </w:rPr>
            </w:pPr>
          </w:p>
        </w:tc>
        <w:tc>
          <w:tcPr>
            <w:tcW w:w="1424"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出版社</w:t>
            </w:r>
          </w:p>
        </w:tc>
        <w:tc>
          <w:tcPr>
            <w:tcW w:w="2841" w:type="dxa"/>
            <w:gridSpan w:val="3"/>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ISBN</w:t>
            </w:r>
          </w:p>
        </w:tc>
        <w:tc>
          <w:tcPr>
            <w:tcW w:w="2839" w:type="dxa"/>
            <w:gridSpan w:val="3"/>
          </w:tcPr>
          <w:p>
            <w:pPr>
              <w:spacing w:line="360" w:lineRule="auto"/>
              <w:jc w:val="center"/>
              <w:rPr>
                <w:rFonts w:ascii="仿宋_GB2312" w:hAnsi="华文仿宋" w:eastAsia="仿宋_GB2312" w:cs="华文仿宋"/>
                <w:b/>
                <w:bCs/>
                <w:sz w:val="28"/>
                <w:szCs w:val="28"/>
              </w:rPr>
            </w:pPr>
          </w:p>
        </w:tc>
        <w:tc>
          <w:tcPr>
            <w:tcW w:w="1424"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出版时间</w:t>
            </w:r>
          </w:p>
        </w:tc>
        <w:tc>
          <w:tcPr>
            <w:tcW w:w="2841" w:type="dxa"/>
            <w:gridSpan w:val="3"/>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体裁</w:t>
            </w:r>
          </w:p>
        </w:tc>
        <w:tc>
          <w:tcPr>
            <w:tcW w:w="1560" w:type="dxa"/>
            <w:gridSpan w:val="2"/>
          </w:tcPr>
          <w:p>
            <w:pPr>
              <w:spacing w:line="360" w:lineRule="auto"/>
              <w:jc w:val="center"/>
              <w:rPr>
                <w:rFonts w:ascii="仿宋_GB2312" w:hAnsi="华文仿宋" w:eastAsia="仿宋_GB2312" w:cs="华文仿宋"/>
                <w:b/>
                <w:bCs/>
                <w:sz w:val="28"/>
                <w:szCs w:val="28"/>
              </w:rPr>
            </w:pPr>
          </w:p>
        </w:tc>
        <w:tc>
          <w:tcPr>
            <w:tcW w:w="1279"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定价</w:t>
            </w:r>
          </w:p>
        </w:tc>
        <w:tc>
          <w:tcPr>
            <w:tcW w:w="1424" w:type="dxa"/>
          </w:tcPr>
          <w:p>
            <w:pPr>
              <w:spacing w:line="360" w:lineRule="auto"/>
              <w:jc w:val="center"/>
              <w:rPr>
                <w:rFonts w:ascii="仿宋_GB2312" w:hAnsi="华文仿宋" w:eastAsia="仿宋_GB2312" w:cs="华文仿宋"/>
                <w:b/>
                <w:bCs/>
                <w:sz w:val="28"/>
                <w:szCs w:val="28"/>
              </w:rPr>
            </w:pPr>
          </w:p>
        </w:tc>
        <w:tc>
          <w:tcPr>
            <w:tcW w:w="1350" w:type="dxa"/>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发行量</w:t>
            </w:r>
          </w:p>
        </w:tc>
        <w:tc>
          <w:tcPr>
            <w:tcW w:w="1491" w:type="dxa"/>
            <w:gridSpan w:val="2"/>
          </w:tcPr>
          <w:p>
            <w:pPr>
              <w:spacing w:line="360" w:lineRule="auto"/>
              <w:jc w:val="center"/>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8"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作者简介</w:t>
            </w:r>
          </w:p>
        </w:tc>
        <w:tc>
          <w:tcPr>
            <w:tcW w:w="7104" w:type="dxa"/>
            <w:gridSpan w:val="7"/>
            <w:vAlign w:val="center"/>
          </w:tcPr>
          <w:p>
            <w:pPr>
              <w:spacing w:line="360" w:lineRule="auto"/>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7"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作品简介</w:t>
            </w:r>
          </w:p>
        </w:tc>
        <w:tc>
          <w:tcPr>
            <w:tcW w:w="7104" w:type="dxa"/>
            <w:gridSpan w:val="7"/>
            <w:vAlign w:val="center"/>
          </w:tcPr>
          <w:p>
            <w:pPr>
              <w:spacing w:line="360" w:lineRule="auto"/>
              <w:rPr>
                <w:rFonts w:ascii="仿宋_GB2312" w:hAnsi="华文仿宋" w:eastAsia="仿宋_GB2312" w:cs="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1" w:hRule="atLeast"/>
        </w:trPr>
        <w:tc>
          <w:tcPr>
            <w:tcW w:w="1420" w:type="dxa"/>
            <w:vAlign w:val="center"/>
          </w:tcPr>
          <w:p>
            <w:pPr>
              <w:spacing w:line="360" w:lineRule="auto"/>
              <w:jc w:val="center"/>
              <w:rPr>
                <w:rFonts w:ascii="仿宋_GB2312" w:hAnsi="华文仿宋" w:eastAsia="仿宋_GB2312" w:cs="华文仿宋"/>
                <w:b/>
                <w:bCs/>
                <w:sz w:val="28"/>
                <w:szCs w:val="28"/>
              </w:rPr>
            </w:pPr>
            <w:r>
              <w:rPr>
                <w:rFonts w:hint="eastAsia" w:ascii="仿宋_GB2312" w:hAnsi="华文仿宋" w:eastAsia="仿宋_GB2312" w:cs="华文仿宋"/>
                <w:b/>
                <w:bCs/>
                <w:sz w:val="28"/>
                <w:szCs w:val="28"/>
              </w:rPr>
              <w:t>自我推荐意见</w:t>
            </w:r>
          </w:p>
        </w:tc>
        <w:tc>
          <w:tcPr>
            <w:tcW w:w="7104" w:type="dxa"/>
            <w:gridSpan w:val="7"/>
            <w:vAlign w:val="center"/>
          </w:tcPr>
          <w:p>
            <w:pPr>
              <w:spacing w:line="360" w:lineRule="auto"/>
              <w:rPr>
                <w:rFonts w:ascii="仿宋_GB2312" w:hAnsi="华文仿宋" w:eastAsia="仿宋_GB2312" w:cs="华文仿宋"/>
                <w:b/>
                <w:bCs/>
                <w:sz w:val="28"/>
                <w:szCs w:val="28"/>
              </w:rPr>
            </w:pPr>
            <w:r>
              <w:rPr>
                <w:rFonts w:hint="eastAsia" w:ascii="仿宋_GB2312" w:hAnsi="华文仿宋" w:eastAsia="仿宋_GB2312" w:cs="华文仿宋"/>
                <w:bCs/>
                <w:color w:val="404040"/>
                <w:sz w:val="28"/>
                <w:szCs w:val="28"/>
              </w:rPr>
              <w:t>不超过100字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6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2020-02-25T04:15:49Z</dcterms:created>
  <dc:creator>Administrator</dc:creator>
  <cp:lastModifiedBy>Administrator</cp:lastModifiedBy>
  <dcterms:modified xsi:type="dcterms:W3CDTF">2020-02-25T04:16:18Z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