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年度福建省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图书馆宽带业务服务项目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采购内容及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要求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GB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本次项目将完成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福建省图书馆宽带线路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服务期限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延长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宽带线路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电信互联网专线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  <w:t>、中国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移动互联网专线、政务网专线、政务云专线等线路。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须承诺能够完成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福建省图书馆宽带业务项目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内容，涉及的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线路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服务期限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延长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GB" w:bidi="ar"/>
          <w14:textFill>
            <w14:solidFill>
              <w14:schemeClr w14:val="tx1"/>
            </w14:solidFill>
          </w14:textFill>
        </w:rPr>
        <w:t>等所有费用均包含在项目报价中。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福建省图书馆(福建省古籍保护中心)是全省公共图书馆总分馆体系的中心馆，上承省级文旅与数字文化建设要求，下联全省各级图书馆（县/区、乡、村/社区），承担全省公共图书馆资源共享、通借通还、业务互联的核心枢纽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有互联网专线服务即将到期，需续采高可靠、稳定、安全的互联网光纤专线。用于保障福建省图书馆基础办公、资源共享、通借通还、业务互联的联合服务网络稳定。满足读者馆外顺畅访问省图电子文献资源（数据库、数字图书、期刊等）的需求。支撑省图智慧图书馆建设、数据中心服务、线上服务与数字展览等业务扩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GB" w:eastAsia="zh-CN"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采购内容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中国电信线路（服务期限延长一年）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互联网专线（3条）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线路1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（互联网服务的IPv6访问支撑）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带宽：400Mbps。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IP地址：8个固定IPv4公网IP地址。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技术要求：支持原生IPv6双栈接入，分配独立的IPv6地址前缀（/56），专门用于“互联网服务的IPv6访问支撑”。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线路2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（业务系统互联网服务）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带宽 ：450Mbps。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IP地址：13个固定IPv4公网IP地址。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线路3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（网站系统线路）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带宽：400Mbps。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IP地址：8个固定IPv4公网IP地址。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针对这3条线路附带安全服务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：包含抗DDoS攻击服务、IPV6支持度检测服务、威胁监测分析服务。要求抗DDoS攻击服务每月提供1份抗DDoS攻击服务报告,一年至少12份； IPV6支持度检测服务每半年检测1次，一年至少2次；威胁监测分析服务至少支持10个资产IP地址威胁监测，每季度提供1份威胁监测分析报告，一年至少4次。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政务网专线（2条）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（政务内网）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带宽：100Mbps。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线路2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（政务外网）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带宽：100Mbps。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政务云专线（1条）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带宽：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300Mbps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合规要求：必须符合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福建省电子政务网的相关安全与管理规定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2、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中国移动线路（服务期限延长一年）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互联网专线（2条）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（无线终端的互联网服务）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带宽：500Mbps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IP地址：3个固定IPv4公网IP地址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（无线终端的互联网服务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备用线路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带宽：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00Mbps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IP地址：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个固定IPv4公网IP地址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政务云专线（1条）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带宽：300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Mbps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合规要求：必须符合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福建省电子政务网的相关安全与管理规定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三、技术与服务要求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线路要求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（1）接入段带宽：接入段上下行带宽测速均应达到签约带宽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（2）接入段站点可用率：≥99%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接入段平均时延≤50ms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接入段平均丢包率≤1%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）接入段平均故障修复时间：≤24小时（剔除不可抗力原因）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）须提供互联网专线7*24小时网络监控及7*24小时电话故障受理，对故障申报及时应答并做出处理</w:t>
      </w:r>
      <w:r>
        <w:rPr>
          <w:rFonts w:hint="eastAsia"/>
          <w:lang w:val="en-US"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）提供的线路应满足采购人相应网络结构、设备连接规范、数据传输质量等技术要求，支持两端用户侧接口</w:t>
      </w:r>
      <w:r>
        <w:rPr>
          <w:rFonts w:hint="eastAsia"/>
          <w:lang w:eastAsia="zh-CN"/>
        </w:rPr>
        <w:t>采用</w:t>
      </w:r>
      <w:r>
        <w:rPr>
          <w:rFonts w:hint="eastAsia"/>
        </w:rPr>
        <w:t>以太网电口或光纤接口接入形式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不改变原有组网结构，保证原有线路数据传输不中断、业务系统使用不中断、不改变原有IP地址，业务IP不会变更、备案网站不受影响。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）提供的网络线路具备良好的拓展性，线路带宽可以调整，线路能满足采购人根据需要扩展网络（提高速率等）的需要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保证所提供线路通畅、稳定、安全，满足采购人的需求。成交人在租用线路接入施工过程中，应确保提供的服务具体标准满足信息产业部颁布的《电信服务规范》，保证通信业务安全畅通。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（9）因检修线路、设备搬迁、工程割接、网络及软件升级等可预见的原因影响采购人使用的，应提前24小时告知采购人，并协商达成一致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（10）为保证线路正常运行，组织经验丰富的技术运维人员进行运行维护，提供优质的服务质量。当通信线路或网络设备发生故障时，应及时、主动对故障进行处理，并及时通知采购人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 w:eastAsia="仿宋_GB2312"/>
          <w:lang w:eastAsia="zh-CN"/>
        </w:rPr>
      </w:pPr>
      <w:r>
        <w:rPr>
          <w:rFonts w:hint="eastAsia"/>
        </w:rPr>
        <w:t>（11）合同履约过程中，根据采购人实际需求，在接到采购人通知后，应在现场具备施工、调测条件下，一个月内开通相应线路</w:t>
      </w:r>
      <w:r>
        <w:rPr>
          <w:rFonts w:hint="eastAsia"/>
          <w:lang w:eastAsia="zh-CN"/>
        </w:rPr>
        <w:t>。</w:t>
      </w:r>
    </w:p>
    <w:p>
      <w:pPr>
        <w:pStyle w:val="9"/>
        <w:rPr>
          <w:rFonts w:hint="eastAsia"/>
        </w:rPr>
      </w:pPr>
      <w:r>
        <w:rPr>
          <w:rFonts w:hint="eastAsia"/>
        </w:rPr>
        <w:t>（12）每季度提供专线使用率分析报告，包括：上下行峰值利用率、平均利用率）。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2、安全产品要求：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抗DDoS攻击服务</w:t>
      </w:r>
    </w:p>
    <w:tbl>
      <w:tblPr>
        <w:tblStyle w:val="10"/>
        <w:tblW w:w="8755" w:type="dxa"/>
        <w:tblInd w:w="0" w:type="dxa"/>
        <w:tblBorders>
          <w:top w:val="single" w:color="3E3A39" w:sz="8" w:space="0"/>
          <w:left w:val="single" w:color="3E3A39" w:sz="8" w:space="0"/>
          <w:bottom w:val="single" w:color="3E3A39" w:sz="8" w:space="0"/>
          <w:right w:val="single" w:color="3E3A39" w:sz="8" w:space="0"/>
          <w:insideH w:val="single" w:color="3E3A39" w:sz="8" w:space="0"/>
          <w:insideV w:val="single" w:color="3E3A39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499"/>
      </w:tblGrid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eastAsia="等线" w:cstheme="minorHAns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等线" w:cstheme="minorHAnsi"/>
                <w:b/>
                <w:bCs/>
                <w:color w:val="000000"/>
                <w:kern w:val="0"/>
                <w:sz w:val="18"/>
                <w:szCs w:val="18"/>
              </w:rPr>
              <w:t>技术指标项</w:t>
            </w:r>
          </w:p>
        </w:tc>
        <w:tc>
          <w:tcPr>
            <w:tcW w:w="7499" w:type="dxa"/>
            <w:tcBorders>
              <w:top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详细描述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性能参数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支持不低于10G攻击流量峰值的不限次数的DDoS攻击清洗。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产品功能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可基于IP地址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提供攻击监测、攻击防护和分析溯源三方面功能服务。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9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产品采用分布式近源部署模式，具有全球调动防护能力 ，且可实现城域网近目的，城域网、骨干网二级协同联动能力。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管理平台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通过互联网登录自服务平台进行攻击防护数据查看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 w:bidi="ar"/>
              </w:rPr>
              <w:t>报告要求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每月1份抗DDoS攻击服务报告,一年至少12份。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IPV6支持度检测服务</w:t>
      </w:r>
    </w:p>
    <w:tbl>
      <w:tblPr>
        <w:tblStyle w:val="10"/>
        <w:tblW w:w="8755" w:type="dxa"/>
        <w:tblInd w:w="0" w:type="dxa"/>
        <w:tblBorders>
          <w:top w:val="single" w:color="3E3A39" w:sz="8" w:space="0"/>
          <w:left w:val="single" w:color="3E3A39" w:sz="8" w:space="0"/>
          <w:bottom w:val="single" w:color="3E3A39" w:sz="8" w:space="0"/>
          <w:right w:val="single" w:color="3E3A39" w:sz="8" w:space="0"/>
          <w:insideH w:val="single" w:color="3E3A39" w:sz="8" w:space="0"/>
          <w:insideV w:val="single" w:color="3E3A39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499"/>
      </w:tblGrid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eastAsia="等线" w:cstheme="minorHAns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等线" w:cstheme="minorHAnsi"/>
                <w:b/>
                <w:bCs/>
                <w:color w:val="000000"/>
                <w:kern w:val="0"/>
                <w:sz w:val="18"/>
                <w:szCs w:val="18"/>
              </w:rPr>
              <w:t>技术指标项</w:t>
            </w:r>
          </w:p>
        </w:tc>
        <w:tc>
          <w:tcPr>
            <w:tcW w:w="7499" w:type="dxa"/>
            <w:tcBorders>
              <w:top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详细描述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功能要求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对网站进行IPv6支持度深度检测，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至少支持一/二/三级链接的检测，提供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IPv6支持度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检测报告。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基于中华人民共和国通信行业标准YD/T3118-2016《网站IPv6支持度评测指标与测试方法》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对网站进行检测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支持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IPv6网络环境下的web网站,以及IPv6和IPv4共存网络环境下支持双线模式的web网站。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报告要求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提供检测报告包含结果总览，得分细节，不支持IPV6的链接列表。每半年检测1次，一年至少提供2份检测报告。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威胁监测分析服务</w:t>
      </w:r>
    </w:p>
    <w:tbl>
      <w:tblPr>
        <w:tblStyle w:val="10"/>
        <w:tblW w:w="8755" w:type="dxa"/>
        <w:tblInd w:w="0" w:type="dxa"/>
        <w:tblBorders>
          <w:top w:val="single" w:color="3E3A39" w:sz="8" w:space="0"/>
          <w:left w:val="single" w:color="3E3A39" w:sz="8" w:space="0"/>
          <w:bottom w:val="single" w:color="3E3A39" w:sz="8" w:space="0"/>
          <w:right w:val="single" w:color="3E3A39" w:sz="8" w:space="0"/>
          <w:insideH w:val="single" w:color="3E3A39" w:sz="8" w:space="0"/>
          <w:insideV w:val="single" w:color="3E3A39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499"/>
      </w:tblGrid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eastAsia="等线" w:cstheme="minorHAnsi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等线" w:cstheme="minorHAnsi"/>
                <w:b/>
                <w:bCs/>
                <w:color w:val="000000"/>
                <w:kern w:val="0"/>
                <w:sz w:val="18"/>
                <w:szCs w:val="18"/>
              </w:rPr>
              <w:t>技术指标项</w:t>
            </w:r>
          </w:p>
        </w:tc>
        <w:tc>
          <w:tcPr>
            <w:tcW w:w="7499" w:type="dxa"/>
            <w:tcBorders>
              <w:top w:val="nil"/>
              <w:bottom w:val="nil"/>
              <w:right w:val="nil"/>
              <w:insideV w:val="nil"/>
            </w:tcBorders>
            <w:shd w:val="clear" w:color="auto" w:fill="F2BA02" w:themeFill="accent3"/>
            <w:vAlign w:val="center"/>
          </w:tcPr>
          <w:p>
            <w:pPr>
              <w:widowControl/>
              <w:jc w:val="center"/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详细描述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>资产失陷监测能力</w:t>
            </w: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威胁监测分析服务：具备对用户互联网资产IP的的失陷事件监测能力，在不增加本地设备的前提下，基于高精准威胁情报结合互联网数据实现IP资产在国际方向的外联监测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具备对资产IP地址外联高威胁IOC（如：APT、勒索、挖矿，钓鱼，恶意软件）进行预警的能力，并提供详细的外联事件数据；包括：存在外联的资产IP及端口，外联的恶意域名，恶意域名对应的IP及端口；此违规外联的最早连接时间，最近连接时间，整体的连接次数；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>资产暴露风险监测能力</w:t>
            </w: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具备针对用户IP资产（包括IPv4和IPv6）高敏暴露的监测能力，支持基于被动测绘能力（为避免对业务系统影响，不得对资产进行主动探测扫描），对用户的资产存在的高敏暴露端口及服务进行预警。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基于被动测绘能力，对用户的资产存在的暴露风险进行预警，并提供详细说明；应包括风险资产IP列表，风险端口列表，资产数量，存在的敏感服务，风险描述。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>威胁情报能力</w:t>
            </w:r>
          </w:p>
        </w:tc>
        <w:tc>
          <w:tcPr>
            <w:tcW w:w="749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威胁情报服务商的威胁情报应汇聚多个情报源;在服务商自有威胁情报的基础上，还应融合国内至少2家安全厂家的商业威胁情报。</w:t>
            </w:r>
          </w:p>
        </w:tc>
      </w:tr>
      <w:tr>
        <w:tblPrEx>
          <w:tblBorders>
            <w:top w:val="single" w:color="3E3A39" w:sz="8" w:space="0"/>
            <w:left w:val="single" w:color="3E3A39" w:sz="8" w:space="0"/>
            <w:bottom w:val="single" w:color="3E3A39" w:sz="8" w:space="0"/>
            <w:right w:val="single" w:color="3E3A39" w:sz="8" w:space="0"/>
            <w:insideH w:val="single" w:color="3E3A39" w:sz="8" w:space="0"/>
            <w:insideV w:val="single" w:color="3E3A39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>威胁监测分析报告</w:t>
            </w: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产品应具备提供周期性报告的能力，可以采用邮件的形式提供上述能力的威胁监测分析报告。每季度1份检测报告，一年至少4分检测报告。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E96BA"/>
    <w:multiLevelType w:val="singleLevel"/>
    <w:tmpl w:val="AAAE96B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49DB"/>
    <w:rsid w:val="02E84DD7"/>
    <w:rsid w:val="03FE7382"/>
    <w:rsid w:val="0C267FB1"/>
    <w:rsid w:val="0D7A28E1"/>
    <w:rsid w:val="14A52E66"/>
    <w:rsid w:val="15915111"/>
    <w:rsid w:val="1E3978B5"/>
    <w:rsid w:val="22217ECC"/>
    <w:rsid w:val="2AA849DB"/>
    <w:rsid w:val="2B84600A"/>
    <w:rsid w:val="2D3F0A4F"/>
    <w:rsid w:val="2E4C6550"/>
    <w:rsid w:val="2EC861B8"/>
    <w:rsid w:val="30337790"/>
    <w:rsid w:val="53725D5B"/>
    <w:rsid w:val="53D127EF"/>
    <w:rsid w:val="541C17BB"/>
    <w:rsid w:val="571D1049"/>
    <w:rsid w:val="5AD67C49"/>
    <w:rsid w:val="5D814A15"/>
    <w:rsid w:val="60D63DF6"/>
    <w:rsid w:val="68603149"/>
    <w:rsid w:val="716D4D51"/>
    <w:rsid w:val="71823F15"/>
    <w:rsid w:val="779F68CA"/>
    <w:rsid w:val="78A376C8"/>
    <w:rsid w:val="7BB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ind w:firstLine="0" w:firstLineChars="0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0" w:firstLineChars="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正文首行缩进 21"/>
    <w:basedOn w:val="5"/>
    <w:qFormat/>
    <w:uiPriority w:val="0"/>
    <w:pPr>
      <w:ind w:firstLine="420"/>
    </w:pPr>
    <w:rPr>
      <w:rFonts w:eastAsia="仿宋_GB2312" w:cs="Times New Roman"/>
      <w:kern w:val="1"/>
      <w:sz w:val="32"/>
    </w:rPr>
  </w:style>
  <w:style w:type="table" w:customStyle="1" w:styleId="10">
    <w:name w:val="网格表 4 - 着色 31"/>
    <w:basedOn w:val="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2025-11-17T01:18:00Z</dcterms:created>
  <dc:creator>登云</dc:creator>
  <cp:lastModifiedBy>MT-feiying</cp:lastModifiedBy>
  <dcterms:modified xsi:type="dcterms:W3CDTF">2026-04-20T02:14:53Z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7B1E23F7C381442582733D400BBA2F66_11</vt:lpwstr>
  </property>
  <property fmtid="{D5CDD505-2E9C-101B-9397-08002B2CF9AE}" pid="4" name="KSOTemplateDocerSaveRecord">
    <vt:lpwstr>eyJoZGlkIjoiMjcyMmFhOGRhZTMwNmJkNzQxMjFlZWRlOTZiMjg3NTgiLCJ1c2VySWQiOiI5NTc3MTM0NjQifQ==</vt:lpwstr>
  </property>
</Properties>
</file>